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6E6EB" w14:textId="290BA412" w:rsidR="00452B16" w:rsidRPr="003C3FB2" w:rsidRDefault="00452B16" w:rsidP="003C3FB2">
      <w:pPr>
        <w:numPr>
          <w:ilvl w:val="0"/>
          <w:numId w:val="1"/>
        </w:numPr>
        <w:tabs>
          <w:tab w:val="clear" w:pos="720"/>
          <w:tab w:val="num" w:pos="360"/>
        </w:tabs>
        <w:spacing w:before="240"/>
        <w:ind w:left="363" w:hanging="357"/>
        <w:jc w:val="both"/>
        <w:rPr>
          <w:rFonts w:ascii="Arial" w:hAnsi="Arial" w:cs="Arial"/>
          <w:sz w:val="22"/>
          <w:szCs w:val="22"/>
        </w:rPr>
      </w:pPr>
      <w:r w:rsidRPr="003C3FB2">
        <w:rPr>
          <w:rFonts w:ascii="Arial" w:hAnsi="Arial" w:cs="Arial"/>
          <w:sz w:val="22"/>
          <w:szCs w:val="22"/>
        </w:rPr>
        <w:t xml:space="preserve">Trading hours of shops in Queensland are regulated by the </w:t>
      </w:r>
      <w:r w:rsidRPr="003C3FB2">
        <w:rPr>
          <w:rFonts w:ascii="Arial" w:hAnsi="Arial" w:cs="Arial"/>
          <w:i/>
          <w:iCs/>
          <w:sz w:val="22"/>
          <w:szCs w:val="22"/>
        </w:rPr>
        <w:t xml:space="preserve">Trading (Allowable Hours) Act 1990 </w:t>
      </w:r>
      <w:r w:rsidRPr="003C3FB2">
        <w:rPr>
          <w:rFonts w:ascii="Arial" w:hAnsi="Arial" w:cs="Arial"/>
          <w:sz w:val="22"/>
          <w:szCs w:val="22"/>
        </w:rPr>
        <w:t>(the Act) and, in limited circumstance</w:t>
      </w:r>
      <w:r w:rsidR="00EF6150" w:rsidRPr="003C3FB2">
        <w:rPr>
          <w:rFonts w:ascii="Arial" w:hAnsi="Arial" w:cs="Arial"/>
          <w:sz w:val="22"/>
          <w:szCs w:val="22"/>
        </w:rPr>
        <w:t>s</w:t>
      </w:r>
      <w:r w:rsidR="006202B9" w:rsidRPr="003C3FB2">
        <w:rPr>
          <w:rFonts w:ascii="Arial" w:hAnsi="Arial" w:cs="Arial"/>
          <w:sz w:val="22"/>
          <w:szCs w:val="22"/>
        </w:rPr>
        <w:t>,</w:t>
      </w:r>
      <w:r w:rsidRPr="003C3FB2">
        <w:rPr>
          <w:rFonts w:ascii="Arial" w:hAnsi="Arial" w:cs="Arial"/>
          <w:sz w:val="22"/>
          <w:szCs w:val="22"/>
        </w:rPr>
        <w:t xml:space="preserve"> by orders of the Queensland Industrial Relations Commission (QIRC).</w:t>
      </w:r>
      <w:r w:rsidR="006202B9" w:rsidRPr="003C3FB2">
        <w:rPr>
          <w:rFonts w:ascii="Arial" w:hAnsi="Arial" w:cs="Arial"/>
          <w:sz w:val="22"/>
          <w:szCs w:val="22"/>
        </w:rPr>
        <w:t xml:space="preserve"> Key functions of the Act include prescribing categories of shops which are exempt from trading hours restrictions</w:t>
      </w:r>
      <w:r w:rsidR="00EF6150" w:rsidRPr="003C3FB2">
        <w:rPr>
          <w:rFonts w:ascii="Arial" w:hAnsi="Arial" w:cs="Arial"/>
          <w:sz w:val="22"/>
          <w:szCs w:val="22"/>
        </w:rPr>
        <w:t xml:space="preserve">, </w:t>
      </w:r>
      <w:r w:rsidR="006202B9" w:rsidRPr="003C3FB2">
        <w:rPr>
          <w:rFonts w:ascii="Arial" w:hAnsi="Arial" w:cs="Arial"/>
          <w:sz w:val="22"/>
          <w:szCs w:val="22"/>
        </w:rPr>
        <w:t>setting permitted trading hours of non-exempt shops</w:t>
      </w:r>
      <w:r w:rsidR="00EF6150" w:rsidRPr="003C3FB2">
        <w:rPr>
          <w:rFonts w:ascii="Arial" w:hAnsi="Arial" w:cs="Arial"/>
          <w:sz w:val="22"/>
          <w:szCs w:val="22"/>
        </w:rPr>
        <w:t xml:space="preserve">, </w:t>
      </w:r>
      <w:r w:rsidR="006202B9" w:rsidRPr="003C3FB2">
        <w:rPr>
          <w:rFonts w:ascii="Arial" w:hAnsi="Arial" w:cs="Arial"/>
          <w:sz w:val="22"/>
          <w:szCs w:val="22"/>
        </w:rPr>
        <w:t>and empowering the QIRC to make certain orders about trading hours.</w:t>
      </w:r>
    </w:p>
    <w:p w14:paraId="3ACFD85F" w14:textId="39349C03" w:rsidR="006135DF" w:rsidRPr="003C3FB2" w:rsidRDefault="006135DF" w:rsidP="003C3FB2">
      <w:pPr>
        <w:numPr>
          <w:ilvl w:val="0"/>
          <w:numId w:val="1"/>
        </w:numPr>
        <w:tabs>
          <w:tab w:val="clear" w:pos="720"/>
          <w:tab w:val="num" w:pos="360"/>
        </w:tabs>
        <w:spacing w:before="240"/>
        <w:ind w:left="363" w:hanging="357"/>
        <w:jc w:val="both"/>
        <w:rPr>
          <w:rFonts w:ascii="Arial" w:hAnsi="Arial" w:cs="Arial"/>
          <w:sz w:val="22"/>
          <w:szCs w:val="22"/>
        </w:rPr>
      </w:pPr>
      <w:r w:rsidRPr="003C3FB2">
        <w:rPr>
          <w:rFonts w:ascii="Arial" w:hAnsi="Arial" w:cs="Arial"/>
          <w:sz w:val="22"/>
          <w:szCs w:val="22"/>
        </w:rPr>
        <w:t>The Trading (Allowable Hours) and Other Legislation Amendment Bill 2022 (the Bill) amend</w:t>
      </w:r>
      <w:r w:rsidR="0039782C" w:rsidRPr="003C3FB2">
        <w:rPr>
          <w:rFonts w:ascii="Arial" w:hAnsi="Arial" w:cs="Arial"/>
          <w:sz w:val="22"/>
          <w:szCs w:val="22"/>
        </w:rPr>
        <w:t>s</w:t>
      </w:r>
      <w:r w:rsidRPr="003C3FB2">
        <w:rPr>
          <w:rFonts w:ascii="Arial" w:hAnsi="Arial" w:cs="Arial"/>
          <w:sz w:val="22"/>
          <w:szCs w:val="22"/>
        </w:rPr>
        <w:t xml:space="preserve"> the</w:t>
      </w:r>
      <w:r w:rsidR="00452B16" w:rsidRPr="003C3FB2">
        <w:rPr>
          <w:rFonts w:ascii="Arial" w:hAnsi="Arial" w:cs="Arial"/>
          <w:sz w:val="22"/>
          <w:szCs w:val="22"/>
        </w:rPr>
        <w:t xml:space="preserve"> Act</w:t>
      </w:r>
      <w:r w:rsidRPr="003C3FB2">
        <w:rPr>
          <w:rFonts w:ascii="Arial" w:hAnsi="Arial" w:cs="Arial"/>
          <w:sz w:val="22"/>
          <w:szCs w:val="22"/>
        </w:rPr>
        <w:t xml:space="preserve"> </w:t>
      </w:r>
      <w:r w:rsidR="00C00A32" w:rsidRPr="003C3FB2">
        <w:rPr>
          <w:rFonts w:ascii="Arial" w:hAnsi="Arial" w:cs="Arial"/>
          <w:sz w:val="22"/>
          <w:szCs w:val="22"/>
        </w:rPr>
        <w:t xml:space="preserve">to implement </w:t>
      </w:r>
      <w:r w:rsidR="00452B16" w:rsidRPr="003C3FB2">
        <w:rPr>
          <w:rFonts w:ascii="Arial" w:hAnsi="Arial" w:cs="Arial"/>
          <w:sz w:val="22"/>
          <w:szCs w:val="22"/>
        </w:rPr>
        <w:t xml:space="preserve">recommendations </w:t>
      </w:r>
      <w:r w:rsidR="00C00A32" w:rsidRPr="003C3FB2">
        <w:rPr>
          <w:rFonts w:ascii="Arial" w:hAnsi="Arial" w:cs="Arial"/>
          <w:sz w:val="22"/>
          <w:szCs w:val="22"/>
        </w:rPr>
        <w:t xml:space="preserve">of the </w:t>
      </w:r>
      <w:r w:rsidR="00B9336C" w:rsidRPr="003C3FB2">
        <w:rPr>
          <w:rFonts w:ascii="Arial" w:hAnsi="Arial" w:cs="Arial"/>
          <w:sz w:val="22"/>
          <w:szCs w:val="22"/>
        </w:rPr>
        <w:t xml:space="preserve">Queensland Parliamentary </w:t>
      </w:r>
      <w:r w:rsidR="00C00A32" w:rsidRPr="003C3FB2">
        <w:rPr>
          <w:rFonts w:ascii="Arial" w:hAnsi="Arial" w:cs="Arial"/>
          <w:sz w:val="22"/>
          <w:szCs w:val="22"/>
        </w:rPr>
        <w:t>Education, Employment and Training Committee</w:t>
      </w:r>
      <w:r w:rsidR="00452B16" w:rsidRPr="003C3FB2">
        <w:rPr>
          <w:rFonts w:ascii="Arial" w:hAnsi="Arial" w:cs="Arial"/>
          <w:sz w:val="22"/>
          <w:szCs w:val="22"/>
        </w:rPr>
        <w:t xml:space="preserve"> (the Committee)</w:t>
      </w:r>
      <w:r w:rsidR="00C00A32" w:rsidRPr="003C3FB2">
        <w:rPr>
          <w:rFonts w:ascii="Arial" w:hAnsi="Arial" w:cs="Arial"/>
          <w:sz w:val="22"/>
          <w:szCs w:val="22"/>
        </w:rPr>
        <w:t xml:space="preserve"> following its recent inquiry into the Act. </w:t>
      </w:r>
    </w:p>
    <w:p w14:paraId="6A1F1EB9" w14:textId="79200BB9" w:rsidR="00311825" w:rsidRPr="003C3FB2" w:rsidRDefault="006202B9" w:rsidP="003C3FB2">
      <w:pPr>
        <w:numPr>
          <w:ilvl w:val="0"/>
          <w:numId w:val="1"/>
        </w:numPr>
        <w:tabs>
          <w:tab w:val="clear" w:pos="720"/>
          <w:tab w:val="num" w:pos="360"/>
        </w:tabs>
        <w:spacing w:before="240"/>
        <w:ind w:left="363" w:hanging="357"/>
        <w:jc w:val="both"/>
        <w:rPr>
          <w:rFonts w:ascii="Arial" w:hAnsi="Arial" w:cs="Arial"/>
          <w:sz w:val="22"/>
          <w:szCs w:val="22"/>
        </w:rPr>
      </w:pPr>
      <w:r w:rsidRPr="003C3FB2">
        <w:rPr>
          <w:rFonts w:ascii="Arial" w:hAnsi="Arial" w:cs="Arial"/>
          <w:sz w:val="22"/>
          <w:szCs w:val="22"/>
        </w:rPr>
        <w:t xml:space="preserve">The Committee considered </w:t>
      </w:r>
      <w:r w:rsidR="00EF6150" w:rsidRPr="003C3FB2">
        <w:rPr>
          <w:rFonts w:ascii="Arial" w:hAnsi="Arial" w:cs="Arial"/>
          <w:sz w:val="22"/>
          <w:szCs w:val="22"/>
        </w:rPr>
        <w:t xml:space="preserve">that </w:t>
      </w:r>
      <w:r w:rsidRPr="003C3FB2">
        <w:rPr>
          <w:rFonts w:ascii="Arial" w:hAnsi="Arial" w:cs="Arial"/>
          <w:sz w:val="22"/>
          <w:szCs w:val="22"/>
        </w:rPr>
        <w:t xml:space="preserve">the Act is operating well to regulate trading hours arrangements </w:t>
      </w:r>
      <w:r w:rsidR="00311825" w:rsidRPr="003C3FB2">
        <w:rPr>
          <w:rFonts w:ascii="Arial" w:hAnsi="Arial" w:cs="Arial"/>
          <w:sz w:val="22"/>
          <w:szCs w:val="22"/>
        </w:rPr>
        <w:t xml:space="preserve">and did not recommend any major changes to the existing regulatory framework. However, the Committee </w:t>
      </w:r>
      <w:r w:rsidRPr="003C3FB2">
        <w:rPr>
          <w:rFonts w:ascii="Arial" w:hAnsi="Arial" w:cs="Arial"/>
          <w:sz w:val="22"/>
          <w:szCs w:val="22"/>
        </w:rPr>
        <w:t>identified opportunities to</w:t>
      </w:r>
      <w:r w:rsidR="00311825" w:rsidRPr="003C3FB2">
        <w:rPr>
          <w:rFonts w:ascii="Arial" w:hAnsi="Arial" w:cs="Arial"/>
          <w:sz w:val="22"/>
          <w:szCs w:val="22"/>
        </w:rPr>
        <w:t xml:space="preserve"> further</w:t>
      </w:r>
      <w:r w:rsidRPr="003C3FB2">
        <w:rPr>
          <w:rFonts w:ascii="Arial" w:hAnsi="Arial" w:cs="Arial"/>
          <w:sz w:val="22"/>
          <w:szCs w:val="22"/>
        </w:rPr>
        <w:t xml:space="preserve"> reduce complexity and red tape for </w:t>
      </w:r>
      <w:r w:rsidR="001147B5" w:rsidRPr="003C3FB2">
        <w:rPr>
          <w:rFonts w:ascii="Arial" w:hAnsi="Arial" w:cs="Arial"/>
          <w:sz w:val="22"/>
          <w:szCs w:val="22"/>
        </w:rPr>
        <w:t xml:space="preserve">retail </w:t>
      </w:r>
      <w:r w:rsidRPr="003C3FB2">
        <w:rPr>
          <w:rFonts w:ascii="Arial" w:hAnsi="Arial" w:cs="Arial"/>
          <w:sz w:val="22"/>
          <w:szCs w:val="22"/>
        </w:rPr>
        <w:t>industry stakeholders</w:t>
      </w:r>
      <w:r w:rsidR="00311825" w:rsidRPr="003C3FB2">
        <w:rPr>
          <w:rFonts w:ascii="Arial" w:hAnsi="Arial" w:cs="Arial"/>
          <w:sz w:val="22"/>
          <w:szCs w:val="22"/>
        </w:rPr>
        <w:t xml:space="preserve"> by</w:t>
      </w:r>
      <w:r w:rsidR="00C00A32" w:rsidRPr="003C3FB2">
        <w:rPr>
          <w:rFonts w:ascii="Arial" w:hAnsi="Arial" w:cs="Arial"/>
          <w:sz w:val="22"/>
          <w:szCs w:val="22"/>
        </w:rPr>
        <w:t xml:space="preserve"> </w:t>
      </w:r>
      <w:r w:rsidR="00311825" w:rsidRPr="003C3FB2">
        <w:rPr>
          <w:rFonts w:ascii="Arial" w:hAnsi="Arial" w:cs="Arial"/>
          <w:sz w:val="22"/>
          <w:szCs w:val="22"/>
        </w:rPr>
        <w:t>streamlining</w:t>
      </w:r>
      <w:r w:rsidR="009F0133" w:rsidRPr="003C3FB2">
        <w:rPr>
          <w:rFonts w:ascii="Arial" w:hAnsi="Arial" w:cs="Arial"/>
          <w:sz w:val="22"/>
          <w:szCs w:val="22"/>
        </w:rPr>
        <w:t xml:space="preserve"> and clarify</w:t>
      </w:r>
      <w:r w:rsidR="00311825" w:rsidRPr="003C3FB2">
        <w:rPr>
          <w:rFonts w:ascii="Arial" w:hAnsi="Arial" w:cs="Arial"/>
          <w:sz w:val="22"/>
          <w:szCs w:val="22"/>
        </w:rPr>
        <w:t>ing</w:t>
      </w:r>
      <w:r w:rsidR="009F0133" w:rsidRPr="003C3FB2">
        <w:rPr>
          <w:rFonts w:ascii="Arial" w:hAnsi="Arial" w:cs="Arial"/>
          <w:sz w:val="22"/>
          <w:szCs w:val="22"/>
        </w:rPr>
        <w:t xml:space="preserve"> existing trading hours arrangements</w:t>
      </w:r>
      <w:r w:rsidR="00311825" w:rsidRPr="003C3FB2">
        <w:rPr>
          <w:rFonts w:ascii="Arial" w:hAnsi="Arial" w:cs="Arial"/>
          <w:sz w:val="22"/>
          <w:szCs w:val="22"/>
        </w:rPr>
        <w:t>.</w:t>
      </w:r>
    </w:p>
    <w:p w14:paraId="2C9CEE3F" w14:textId="2650E701" w:rsidR="00311825" w:rsidRPr="003C3FB2" w:rsidRDefault="00311825" w:rsidP="003C3FB2">
      <w:pPr>
        <w:numPr>
          <w:ilvl w:val="0"/>
          <w:numId w:val="1"/>
        </w:numPr>
        <w:tabs>
          <w:tab w:val="clear" w:pos="720"/>
          <w:tab w:val="num" w:pos="360"/>
        </w:tabs>
        <w:spacing w:before="240"/>
        <w:ind w:left="363" w:hanging="357"/>
        <w:jc w:val="both"/>
        <w:rPr>
          <w:rFonts w:ascii="Arial" w:hAnsi="Arial" w:cs="Arial"/>
          <w:sz w:val="22"/>
          <w:szCs w:val="22"/>
        </w:rPr>
      </w:pPr>
      <w:r w:rsidRPr="003C3FB2">
        <w:rPr>
          <w:rFonts w:ascii="Arial" w:hAnsi="Arial" w:cs="Arial"/>
          <w:sz w:val="22"/>
          <w:szCs w:val="22"/>
        </w:rPr>
        <w:t>The Bill implements the Committee’s recommendations by amending the Act to:</w:t>
      </w:r>
      <w:r w:rsidR="00C00A32" w:rsidRPr="003C3FB2">
        <w:rPr>
          <w:rFonts w:ascii="Arial" w:hAnsi="Arial" w:cs="Arial"/>
          <w:sz w:val="22"/>
          <w:szCs w:val="22"/>
        </w:rPr>
        <w:t xml:space="preserve"> </w:t>
      </w:r>
    </w:p>
    <w:p w14:paraId="577F1D86" w14:textId="77777777" w:rsidR="00D66E36" w:rsidRPr="003C3FB2" w:rsidRDefault="00D66E36" w:rsidP="003C3FB2">
      <w:pPr>
        <w:numPr>
          <w:ilvl w:val="0"/>
          <w:numId w:val="2"/>
        </w:numPr>
        <w:tabs>
          <w:tab w:val="clear" w:pos="814"/>
          <w:tab w:val="num" w:pos="709"/>
        </w:tabs>
        <w:spacing w:before="120"/>
        <w:ind w:left="709" w:hanging="352"/>
        <w:jc w:val="both"/>
        <w:rPr>
          <w:rFonts w:ascii="Arial" w:hAnsi="Arial" w:cs="Arial"/>
          <w:sz w:val="22"/>
          <w:szCs w:val="22"/>
        </w:rPr>
      </w:pPr>
      <w:r w:rsidRPr="003C3FB2">
        <w:rPr>
          <w:rFonts w:ascii="Arial" w:hAnsi="Arial" w:cs="Arial"/>
          <w:sz w:val="22"/>
          <w:szCs w:val="22"/>
        </w:rPr>
        <w:t xml:space="preserve">extend two existing five-year moratoriums in the Act for an additional 12 months </w:t>
      </w:r>
    </w:p>
    <w:p w14:paraId="3146CC1F" w14:textId="1A089D16" w:rsidR="00CE4C97" w:rsidRPr="003C3FB2" w:rsidRDefault="00311825" w:rsidP="003C3FB2">
      <w:pPr>
        <w:numPr>
          <w:ilvl w:val="0"/>
          <w:numId w:val="2"/>
        </w:numPr>
        <w:tabs>
          <w:tab w:val="clear" w:pos="814"/>
          <w:tab w:val="num" w:pos="709"/>
        </w:tabs>
        <w:spacing w:before="120"/>
        <w:ind w:left="709" w:hanging="352"/>
        <w:jc w:val="both"/>
        <w:rPr>
          <w:rFonts w:ascii="Arial" w:hAnsi="Arial" w:cs="Arial"/>
          <w:sz w:val="22"/>
          <w:szCs w:val="22"/>
        </w:rPr>
      </w:pPr>
      <w:r w:rsidRPr="003C3FB2">
        <w:rPr>
          <w:rFonts w:ascii="Arial" w:hAnsi="Arial" w:cs="Arial"/>
          <w:sz w:val="22"/>
          <w:szCs w:val="22"/>
        </w:rPr>
        <w:t>c</w:t>
      </w:r>
      <w:r w:rsidR="004243DC" w:rsidRPr="003C3FB2">
        <w:rPr>
          <w:rFonts w:ascii="Arial" w:hAnsi="Arial" w:cs="Arial"/>
          <w:sz w:val="22"/>
          <w:szCs w:val="22"/>
        </w:rPr>
        <w:t>larify</w:t>
      </w:r>
      <w:r w:rsidRPr="003C3FB2">
        <w:rPr>
          <w:rFonts w:ascii="Arial" w:hAnsi="Arial" w:cs="Arial"/>
          <w:sz w:val="22"/>
          <w:szCs w:val="22"/>
        </w:rPr>
        <w:t xml:space="preserve"> that</w:t>
      </w:r>
      <w:r w:rsidR="004243DC" w:rsidRPr="003C3FB2">
        <w:rPr>
          <w:rFonts w:ascii="Arial" w:hAnsi="Arial" w:cs="Arial"/>
          <w:sz w:val="22"/>
          <w:szCs w:val="22"/>
        </w:rPr>
        <w:t xml:space="preserve"> the powers of the QIRC to make orders</w:t>
      </w:r>
      <w:r w:rsidR="00CE4C97" w:rsidRPr="003C3FB2">
        <w:rPr>
          <w:rFonts w:ascii="Arial" w:hAnsi="Arial" w:cs="Arial"/>
          <w:sz w:val="22"/>
          <w:szCs w:val="22"/>
        </w:rPr>
        <w:t xml:space="preserve"> is limited to determining the category that should apply to a particular locality, or part of a locality, and the definitions and boundaries of these localities </w:t>
      </w:r>
    </w:p>
    <w:p w14:paraId="141A5C5D" w14:textId="18021854" w:rsidR="004243DC" w:rsidRPr="003C3FB2" w:rsidRDefault="00CE4C97" w:rsidP="003C3FB2">
      <w:pPr>
        <w:numPr>
          <w:ilvl w:val="0"/>
          <w:numId w:val="2"/>
        </w:numPr>
        <w:tabs>
          <w:tab w:val="clear" w:pos="814"/>
          <w:tab w:val="num" w:pos="709"/>
        </w:tabs>
        <w:spacing w:before="120"/>
        <w:ind w:left="709" w:hanging="352"/>
        <w:jc w:val="both"/>
        <w:rPr>
          <w:rFonts w:ascii="Arial" w:hAnsi="Arial" w:cs="Arial"/>
          <w:sz w:val="22"/>
          <w:szCs w:val="22"/>
        </w:rPr>
      </w:pPr>
      <w:r w:rsidRPr="003C3FB2">
        <w:rPr>
          <w:rFonts w:ascii="Arial" w:hAnsi="Arial" w:cs="Arial"/>
          <w:sz w:val="22"/>
          <w:szCs w:val="22"/>
        </w:rPr>
        <w:t>provid</w:t>
      </w:r>
      <w:r w:rsidR="00311825" w:rsidRPr="003C3FB2">
        <w:rPr>
          <w:rFonts w:ascii="Arial" w:hAnsi="Arial" w:cs="Arial"/>
          <w:sz w:val="22"/>
          <w:szCs w:val="22"/>
        </w:rPr>
        <w:t>e</w:t>
      </w:r>
      <w:r w:rsidRPr="003C3FB2">
        <w:rPr>
          <w:rFonts w:ascii="Arial" w:hAnsi="Arial" w:cs="Arial"/>
          <w:sz w:val="22"/>
          <w:szCs w:val="22"/>
        </w:rPr>
        <w:t xml:space="preserve"> clear guidance for stakeholders about </w:t>
      </w:r>
      <w:r w:rsidR="00B9336C" w:rsidRPr="003C3FB2">
        <w:rPr>
          <w:rFonts w:ascii="Arial" w:hAnsi="Arial" w:cs="Arial"/>
          <w:sz w:val="22"/>
          <w:szCs w:val="22"/>
        </w:rPr>
        <w:t xml:space="preserve">the </w:t>
      </w:r>
      <w:r w:rsidRPr="003C3FB2">
        <w:rPr>
          <w:rFonts w:ascii="Arial" w:hAnsi="Arial" w:cs="Arial"/>
          <w:sz w:val="22"/>
          <w:szCs w:val="22"/>
        </w:rPr>
        <w:t>factors relevant for</w:t>
      </w:r>
      <w:r w:rsidR="00B9336C" w:rsidRPr="003C3FB2">
        <w:rPr>
          <w:rFonts w:ascii="Arial" w:hAnsi="Arial" w:cs="Arial"/>
          <w:sz w:val="22"/>
          <w:szCs w:val="22"/>
        </w:rPr>
        <w:t xml:space="preserve"> </w:t>
      </w:r>
      <w:r w:rsidRPr="003C3FB2">
        <w:rPr>
          <w:rFonts w:ascii="Arial" w:hAnsi="Arial" w:cs="Arial"/>
          <w:sz w:val="22"/>
          <w:szCs w:val="22"/>
        </w:rPr>
        <w:t xml:space="preserve">the </w:t>
      </w:r>
      <w:r w:rsidR="00B9336C" w:rsidRPr="003C3FB2">
        <w:rPr>
          <w:rFonts w:ascii="Arial" w:hAnsi="Arial" w:cs="Arial"/>
          <w:sz w:val="22"/>
          <w:szCs w:val="22"/>
        </w:rPr>
        <w:t>QIRC</w:t>
      </w:r>
      <w:r w:rsidRPr="003C3FB2">
        <w:rPr>
          <w:rFonts w:ascii="Arial" w:hAnsi="Arial" w:cs="Arial"/>
          <w:sz w:val="22"/>
          <w:szCs w:val="22"/>
        </w:rPr>
        <w:t xml:space="preserve"> </w:t>
      </w:r>
      <w:r w:rsidR="00B9336C" w:rsidRPr="003C3FB2">
        <w:rPr>
          <w:rFonts w:ascii="Arial" w:hAnsi="Arial" w:cs="Arial"/>
          <w:sz w:val="22"/>
          <w:szCs w:val="22"/>
        </w:rPr>
        <w:t>declaring special events</w:t>
      </w:r>
      <w:r w:rsidR="004243DC" w:rsidRPr="003C3FB2">
        <w:rPr>
          <w:rFonts w:ascii="Arial" w:hAnsi="Arial" w:cs="Arial"/>
          <w:sz w:val="22"/>
          <w:szCs w:val="22"/>
        </w:rPr>
        <w:t xml:space="preserve"> </w:t>
      </w:r>
    </w:p>
    <w:p w14:paraId="6AF2195B" w14:textId="60366248" w:rsidR="004243DC" w:rsidRPr="003C3FB2" w:rsidRDefault="004243DC" w:rsidP="003C3FB2">
      <w:pPr>
        <w:numPr>
          <w:ilvl w:val="0"/>
          <w:numId w:val="2"/>
        </w:numPr>
        <w:tabs>
          <w:tab w:val="clear" w:pos="814"/>
          <w:tab w:val="num" w:pos="709"/>
        </w:tabs>
        <w:spacing w:before="120"/>
        <w:ind w:left="709" w:hanging="352"/>
        <w:jc w:val="both"/>
        <w:rPr>
          <w:rFonts w:ascii="Arial" w:hAnsi="Arial" w:cs="Arial"/>
          <w:sz w:val="22"/>
          <w:szCs w:val="22"/>
        </w:rPr>
      </w:pPr>
      <w:r w:rsidRPr="003C3FB2">
        <w:rPr>
          <w:rFonts w:ascii="Arial" w:hAnsi="Arial" w:cs="Arial"/>
          <w:sz w:val="22"/>
          <w:szCs w:val="22"/>
        </w:rPr>
        <w:t>streamlin</w:t>
      </w:r>
      <w:r w:rsidR="00311825" w:rsidRPr="003C3FB2">
        <w:rPr>
          <w:rFonts w:ascii="Arial" w:hAnsi="Arial" w:cs="Arial"/>
          <w:sz w:val="22"/>
          <w:szCs w:val="22"/>
        </w:rPr>
        <w:t>e</w:t>
      </w:r>
      <w:r w:rsidRPr="003C3FB2">
        <w:rPr>
          <w:rFonts w:ascii="Arial" w:hAnsi="Arial" w:cs="Arial"/>
          <w:sz w:val="22"/>
          <w:szCs w:val="22"/>
        </w:rPr>
        <w:t xml:space="preserve"> </w:t>
      </w:r>
      <w:r w:rsidR="00B9336C" w:rsidRPr="003C3FB2">
        <w:rPr>
          <w:rFonts w:ascii="Arial" w:hAnsi="Arial" w:cs="Arial"/>
          <w:sz w:val="22"/>
          <w:szCs w:val="22"/>
        </w:rPr>
        <w:t xml:space="preserve">and simplify </w:t>
      </w:r>
      <w:r w:rsidRPr="003C3FB2">
        <w:rPr>
          <w:rFonts w:ascii="Arial" w:hAnsi="Arial" w:cs="Arial"/>
          <w:sz w:val="22"/>
          <w:szCs w:val="22"/>
        </w:rPr>
        <w:t xml:space="preserve">the categories </w:t>
      </w:r>
      <w:r w:rsidR="00624708" w:rsidRPr="003C3FB2">
        <w:rPr>
          <w:rFonts w:ascii="Arial" w:hAnsi="Arial" w:cs="Arial"/>
          <w:sz w:val="22"/>
          <w:szCs w:val="22"/>
        </w:rPr>
        <w:t>for</w:t>
      </w:r>
      <w:r w:rsidR="00B9336C" w:rsidRPr="003C3FB2">
        <w:rPr>
          <w:rFonts w:ascii="Arial" w:hAnsi="Arial" w:cs="Arial"/>
          <w:sz w:val="22"/>
          <w:szCs w:val="22"/>
        </w:rPr>
        <w:t xml:space="preserve"> core trading hours for </w:t>
      </w:r>
      <w:r w:rsidRPr="003C3FB2">
        <w:rPr>
          <w:rFonts w:ascii="Arial" w:hAnsi="Arial" w:cs="Arial"/>
          <w:sz w:val="22"/>
          <w:szCs w:val="22"/>
        </w:rPr>
        <w:t>non-exempt shops</w:t>
      </w:r>
      <w:r w:rsidR="007F2806" w:rsidRPr="003C3FB2">
        <w:rPr>
          <w:rFonts w:ascii="Arial" w:hAnsi="Arial" w:cs="Arial"/>
          <w:sz w:val="22"/>
          <w:szCs w:val="22"/>
        </w:rPr>
        <w:t>;</w:t>
      </w:r>
      <w:r w:rsidR="00D66E36" w:rsidRPr="003C3FB2">
        <w:rPr>
          <w:rFonts w:ascii="Arial" w:hAnsi="Arial" w:cs="Arial"/>
          <w:sz w:val="22"/>
          <w:szCs w:val="22"/>
        </w:rPr>
        <w:t xml:space="preserve"> and</w:t>
      </w:r>
    </w:p>
    <w:p w14:paraId="0F2F7EE0" w14:textId="6ACB1042" w:rsidR="009F0133" w:rsidRPr="003C3FB2" w:rsidRDefault="009F0133" w:rsidP="003C3FB2">
      <w:pPr>
        <w:numPr>
          <w:ilvl w:val="0"/>
          <w:numId w:val="2"/>
        </w:numPr>
        <w:tabs>
          <w:tab w:val="clear" w:pos="814"/>
          <w:tab w:val="num" w:pos="709"/>
        </w:tabs>
        <w:spacing w:before="120"/>
        <w:ind w:left="709" w:hanging="352"/>
        <w:jc w:val="both"/>
        <w:rPr>
          <w:rFonts w:ascii="Arial" w:hAnsi="Arial" w:cs="Arial"/>
          <w:sz w:val="22"/>
          <w:szCs w:val="22"/>
        </w:rPr>
      </w:pPr>
      <w:r w:rsidRPr="003C3FB2">
        <w:rPr>
          <w:rFonts w:ascii="Arial" w:hAnsi="Arial" w:cs="Arial"/>
          <w:sz w:val="22"/>
          <w:szCs w:val="22"/>
        </w:rPr>
        <w:t>ensur</w:t>
      </w:r>
      <w:r w:rsidR="00311825" w:rsidRPr="003C3FB2">
        <w:rPr>
          <w:rFonts w:ascii="Arial" w:hAnsi="Arial" w:cs="Arial"/>
          <w:sz w:val="22"/>
          <w:szCs w:val="22"/>
        </w:rPr>
        <w:t>e</w:t>
      </w:r>
      <w:r w:rsidR="004243DC" w:rsidRPr="003C3FB2">
        <w:rPr>
          <w:rFonts w:ascii="Arial" w:hAnsi="Arial" w:cs="Arial"/>
          <w:sz w:val="22"/>
          <w:szCs w:val="22"/>
        </w:rPr>
        <w:t xml:space="preserve"> continued protections for</w:t>
      </w:r>
      <w:r w:rsidRPr="003C3FB2">
        <w:rPr>
          <w:rFonts w:ascii="Arial" w:hAnsi="Arial" w:cs="Arial"/>
          <w:sz w:val="22"/>
          <w:szCs w:val="22"/>
        </w:rPr>
        <w:t xml:space="preserve"> employees </w:t>
      </w:r>
      <w:r w:rsidR="00EF6150" w:rsidRPr="003C3FB2">
        <w:rPr>
          <w:rFonts w:ascii="Arial" w:hAnsi="Arial" w:cs="Arial"/>
          <w:sz w:val="22"/>
          <w:szCs w:val="22"/>
        </w:rPr>
        <w:t xml:space="preserve">to choose </w:t>
      </w:r>
      <w:r w:rsidR="005B28E2" w:rsidRPr="003C3FB2">
        <w:rPr>
          <w:rFonts w:ascii="Arial" w:hAnsi="Arial" w:cs="Arial"/>
          <w:sz w:val="22"/>
          <w:szCs w:val="22"/>
        </w:rPr>
        <w:t xml:space="preserve">to work, or </w:t>
      </w:r>
      <w:r w:rsidR="004243DC" w:rsidRPr="003C3FB2">
        <w:rPr>
          <w:rFonts w:ascii="Arial" w:hAnsi="Arial" w:cs="Arial"/>
          <w:sz w:val="22"/>
          <w:szCs w:val="22"/>
        </w:rPr>
        <w:t>not to</w:t>
      </w:r>
      <w:r w:rsidRPr="003C3FB2">
        <w:rPr>
          <w:rFonts w:ascii="Arial" w:hAnsi="Arial" w:cs="Arial"/>
          <w:sz w:val="22"/>
          <w:szCs w:val="22"/>
        </w:rPr>
        <w:t xml:space="preserve"> work</w:t>
      </w:r>
      <w:r w:rsidR="005B28E2" w:rsidRPr="003C3FB2">
        <w:rPr>
          <w:rFonts w:ascii="Arial" w:hAnsi="Arial" w:cs="Arial"/>
          <w:sz w:val="22"/>
          <w:szCs w:val="22"/>
        </w:rPr>
        <w:t>,</w:t>
      </w:r>
      <w:r w:rsidRPr="003C3FB2">
        <w:rPr>
          <w:rFonts w:ascii="Arial" w:hAnsi="Arial" w:cs="Arial"/>
          <w:sz w:val="22"/>
          <w:szCs w:val="22"/>
        </w:rPr>
        <w:t xml:space="preserve"> extended hours due to orders or declarations made by the QIRC</w:t>
      </w:r>
      <w:r w:rsidR="00764F7D" w:rsidRPr="003C3FB2">
        <w:rPr>
          <w:rFonts w:ascii="Arial" w:hAnsi="Arial" w:cs="Arial"/>
          <w:sz w:val="22"/>
          <w:szCs w:val="22"/>
        </w:rPr>
        <w:t>,</w:t>
      </w:r>
      <w:r w:rsidR="00B9336C" w:rsidRPr="003C3FB2">
        <w:rPr>
          <w:rFonts w:ascii="Arial" w:hAnsi="Arial" w:cs="Arial"/>
          <w:sz w:val="22"/>
          <w:szCs w:val="22"/>
        </w:rPr>
        <w:t xml:space="preserve"> and </w:t>
      </w:r>
      <w:r w:rsidR="00311825" w:rsidRPr="003C3FB2">
        <w:rPr>
          <w:rFonts w:ascii="Arial" w:hAnsi="Arial" w:cs="Arial"/>
          <w:sz w:val="22"/>
          <w:szCs w:val="22"/>
        </w:rPr>
        <w:t>ensure</w:t>
      </w:r>
      <w:r w:rsidR="00B9336C" w:rsidRPr="003C3FB2">
        <w:rPr>
          <w:rFonts w:ascii="Arial" w:hAnsi="Arial" w:cs="Arial"/>
          <w:sz w:val="22"/>
          <w:szCs w:val="22"/>
        </w:rPr>
        <w:t xml:space="preserve"> these protections apply irrespective of </w:t>
      </w:r>
      <w:r w:rsidR="0051369D" w:rsidRPr="003C3FB2">
        <w:rPr>
          <w:rFonts w:ascii="Arial" w:hAnsi="Arial" w:cs="Arial"/>
          <w:sz w:val="22"/>
          <w:szCs w:val="22"/>
        </w:rPr>
        <w:t>an</w:t>
      </w:r>
      <w:r w:rsidR="00B9336C" w:rsidRPr="003C3FB2">
        <w:rPr>
          <w:rFonts w:ascii="Arial" w:hAnsi="Arial" w:cs="Arial"/>
          <w:sz w:val="22"/>
          <w:szCs w:val="22"/>
        </w:rPr>
        <w:t xml:space="preserve"> employee’s industrial instrument</w:t>
      </w:r>
      <w:r w:rsidR="00D66E36" w:rsidRPr="003C3FB2">
        <w:rPr>
          <w:rFonts w:ascii="Arial" w:hAnsi="Arial" w:cs="Arial"/>
          <w:sz w:val="22"/>
          <w:szCs w:val="22"/>
        </w:rPr>
        <w:t>.</w:t>
      </w:r>
    </w:p>
    <w:p w14:paraId="4024F96E" w14:textId="32520242" w:rsidR="006135DF" w:rsidRPr="003C3FB2" w:rsidRDefault="00B9336C" w:rsidP="003C3FB2">
      <w:pPr>
        <w:numPr>
          <w:ilvl w:val="0"/>
          <w:numId w:val="1"/>
        </w:numPr>
        <w:tabs>
          <w:tab w:val="clear" w:pos="720"/>
          <w:tab w:val="num" w:pos="360"/>
        </w:tabs>
        <w:spacing w:before="240"/>
        <w:ind w:left="357" w:hanging="357"/>
        <w:jc w:val="both"/>
        <w:rPr>
          <w:rFonts w:ascii="Arial" w:hAnsi="Arial" w:cs="Arial"/>
          <w:color w:val="auto"/>
          <w:sz w:val="22"/>
          <w:szCs w:val="22"/>
        </w:rPr>
      </w:pPr>
      <w:r w:rsidRPr="003C3FB2">
        <w:rPr>
          <w:rFonts w:ascii="Arial" w:hAnsi="Arial" w:cs="Arial"/>
          <w:color w:val="auto"/>
          <w:sz w:val="22"/>
          <w:szCs w:val="22"/>
        </w:rPr>
        <w:t>In addition, t</w:t>
      </w:r>
      <w:r w:rsidR="006135DF" w:rsidRPr="003C3FB2">
        <w:rPr>
          <w:rFonts w:ascii="Arial" w:hAnsi="Arial" w:cs="Arial"/>
          <w:color w:val="auto"/>
          <w:sz w:val="22"/>
          <w:szCs w:val="22"/>
        </w:rPr>
        <w:t xml:space="preserve">he Bill </w:t>
      </w:r>
      <w:r w:rsidR="00C00A32" w:rsidRPr="003C3FB2">
        <w:rPr>
          <w:rFonts w:ascii="Arial" w:hAnsi="Arial" w:cs="Arial"/>
          <w:color w:val="auto"/>
          <w:sz w:val="22"/>
          <w:szCs w:val="22"/>
        </w:rPr>
        <w:t>amends</w:t>
      </w:r>
      <w:r w:rsidR="006135DF" w:rsidRPr="003C3FB2">
        <w:rPr>
          <w:rFonts w:ascii="Arial" w:hAnsi="Arial" w:cs="Arial"/>
          <w:color w:val="auto"/>
          <w:sz w:val="22"/>
          <w:szCs w:val="22"/>
        </w:rPr>
        <w:t xml:space="preserve"> </w:t>
      </w:r>
      <w:r w:rsidR="00A807CD" w:rsidRPr="003C3FB2">
        <w:rPr>
          <w:rFonts w:ascii="Arial" w:hAnsi="Arial" w:cs="Arial"/>
          <w:color w:val="auto"/>
          <w:sz w:val="22"/>
          <w:szCs w:val="22"/>
        </w:rPr>
        <w:t xml:space="preserve">the </w:t>
      </w:r>
      <w:r w:rsidR="00A807CD" w:rsidRPr="003C3FB2">
        <w:rPr>
          <w:rFonts w:ascii="Arial" w:hAnsi="Arial" w:cs="Arial"/>
          <w:i/>
          <w:color w:val="auto"/>
          <w:sz w:val="22"/>
          <w:szCs w:val="22"/>
        </w:rPr>
        <w:t>Education (Queensland College of Teachers) Act 2005</w:t>
      </w:r>
      <w:r w:rsidR="00A807CD" w:rsidRPr="003C3FB2">
        <w:rPr>
          <w:rFonts w:ascii="Arial" w:hAnsi="Arial" w:cs="Arial"/>
          <w:color w:val="auto"/>
          <w:sz w:val="22"/>
          <w:szCs w:val="22"/>
        </w:rPr>
        <w:t xml:space="preserve"> and the </w:t>
      </w:r>
      <w:r w:rsidR="00A807CD" w:rsidRPr="003C3FB2">
        <w:rPr>
          <w:rFonts w:ascii="Arial" w:hAnsi="Arial" w:cs="Arial"/>
          <w:i/>
          <w:color w:val="auto"/>
          <w:sz w:val="22"/>
          <w:szCs w:val="22"/>
        </w:rPr>
        <w:t>Education (General Provisions) Act 2006</w:t>
      </w:r>
      <w:r w:rsidR="00A807CD" w:rsidRPr="003C3FB2">
        <w:rPr>
          <w:rFonts w:ascii="Arial" w:hAnsi="Arial" w:cs="Arial"/>
          <w:color w:val="auto"/>
          <w:sz w:val="22"/>
          <w:szCs w:val="22"/>
        </w:rPr>
        <w:t xml:space="preserve"> to make permanent </w:t>
      </w:r>
      <w:r w:rsidR="00BA4025" w:rsidRPr="003C3FB2">
        <w:rPr>
          <w:rFonts w:ascii="Arial" w:hAnsi="Arial" w:cs="Arial"/>
          <w:color w:val="auto"/>
          <w:sz w:val="22"/>
          <w:szCs w:val="22"/>
        </w:rPr>
        <w:t xml:space="preserve">particular </w:t>
      </w:r>
      <w:r w:rsidR="00A807CD" w:rsidRPr="003C3FB2">
        <w:rPr>
          <w:rFonts w:ascii="Arial" w:hAnsi="Arial" w:cs="Arial"/>
          <w:color w:val="auto"/>
          <w:sz w:val="22"/>
          <w:szCs w:val="22"/>
        </w:rPr>
        <w:t xml:space="preserve">measures put temporarily in place during the COVID-19 public health emergency. The amendments modernise the operations of the Queensland College of Teachers and Parents and Citizens Associations by allowing them to take advantage of available communication technology for particular meetings required under the legislation.  </w:t>
      </w:r>
    </w:p>
    <w:p w14:paraId="171E13CE" w14:textId="0D365233" w:rsidR="005565F5" w:rsidRPr="003C3FB2" w:rsidRDefault="00B65391" w:rsidP="003C3FB2">
      <w:pPr>
        <w:numPr>
          <w:ilvl w:val="0"/>
          <w:numId w:val="1"/>
        </w:numPr>
        <w:tabs>
          <w:tab w:val="clear" w:pos="720"/>
          <w:tab w:val="num" w:pos="360"/>
        </w:tabs>
        <w:spacing w:before="240"/>
        <w:ind w:left="351" w:hanging="357"/>
        <w:jc w:val="both"/>
        <w:rPr>
          <w:rFonts w:ascii="Arial" w:hAnsi="Arial" w:cs="Arial"/>
          <w:bCs/>
          <w:sz w:val="22"/>
          <w:szCs w:val="22"/>
        </w:rPr>
      </w:pPr>
      <w:r w:rsidRPr="003C3FB2">
        <w:rPr>
          <w:rFonts w:ascii="Arial" w:hAnsi="Arial" w:cs="Arial"/>
          <w:bCs/>
          <w:sz w:val="22"/>
          <w:szCs w:val="22"/>
          <w:u w:val="single"/>
        </w:rPr>
        <w:t xml:space="preserve">Cabinet </w:t>
      </w:r>
      <w:r w:rsidR="005565F5" w:rsidRPr="003C3FB2">
        <w:rPr>
          <w:rFonts w:ascii="Arial" w:hAnsi="Arial" w:cs="Arial"/>
          <w:bCs/>
          <w:sz w:val="22"/>
          <w:szCs w:val="22"/>
          <w:u w:val="single"/>
        </w:rPr>
        <w:t>approved</w:t>
      </w:r>
      <w:r w:rsidR="00C00A32" w:rsidRPr="003C3FB2">
        <w:rPr>
          <w:rFonts w:ascii="Arial" w:hAnsi="Arial" w:cs="Arial"/>
          <w:sz w:val="22"/>
          <w:szCs w:val="22"/>
        </w:rPr>
        <w:t xml:space="preserve"> </w:t>
      </w:r>
      <w:r w:rsidR="00C00A32" w:rsidRPr="003C3FB2">
        <w:rPr>
          <w:rFonts w:ascii="Arial" w:hAnsi="Arial" w:cs="Arial"/>
          <w:bCs/>
          <w:sz w:val="22"/>
          <w:szCs w:val="22"/>
        </w:rPr>
        <w:t>i</w:t>
      </w:r>
      <w:r w:rsidR="005565F5" w:rsidRPr="003C3FB2">
        <w:rPr>
          <w:rFonts w:ascii="Arial" w:hAnsi="Arial" w:cs="Arial"/>
          <w:bCs/>
          <w:sz w:val="22"/>
          <w:szCs w:val="22"/>
        </w:rPr>
        <w:t xml:space="preserve">ntroduction of the </w:t>
      </w:r>
      <w:r w:rsidR="007B00EA" w:rsidRPr="003C3FB2">
        <w:rPr>
          <w:rFonts w:ascii="Arial" w:hAnsi="Arial" w:cs="Arial"/>
          <w:sz w:val="22"/>
          <w:szCs w:val="22"/>
        </w:rPr>
        <w:t>Trading (Allowable Hours) and Other Legislation Amendment Bill 2022</w:t>
      </w:r>
      <w:r w:rsidR="003C3FB2">
        <w:rPr>
          <w:rFonts w:ascii="Arial" w:hAnsi="Arial" w:cs="Arial"/>
          <w:sz w:val="22"/>
          <w:szCs w:val="22"/>
        </w:rPr>
        <w:t xml:space="preserve"> into the Legislative Assembly</w:t>
      </w:r>
      <w:r w:rsidR="005565F5" w:rsidRPr="003C3FB2">
        <w:rPr>
          <w:rFonts w:ascii="Arial" w:hAnsi="Arial" w:cs="Arial"/>
          <w:bCs/>
          <w:sz w:val="22"/>
          <w:szCs w:val="22"/>
        </w:rPr>
        <w:t>.</w:t>
      </w:r>
    </w:p>
    <w:p w14:paraId="77EA8718" w14:textId="410477E1" w:rsidR="005565F5" w:rsidRPr="003C3FB2" w:rsidRDefault="005565F5" w:rsidP="003C3FB2">
      <w:pPr>
        <w:numPr>
          <w:ilvl w:val="0"/>
          <w:numId w:val="1"/>
        </w:numPr>
        <w:tabs>
          <w:tab w:val="clear" w:pos="720"/>
          <w:tab w:val="num" w:pos="360"/>
        </w:tabs>
        <w:spacing w:before="360"/>
        <w:ind w:left="357" w:hanging="357"/>
        <w:jc w:val="both"/>
        <w:rPr>
          <w:rFonts w:ascii="Arial" w:hAnsi="Arial" w:cs="Arial"/>
          <w:i/>
          <w:iCs/>
          <w:sz w:val="22"/>
          <w:szCs w:val="22"/>
        </w:rPr>
      </w:pPr>
      <w:r w:rsidRPr="003C3FB2">
        <w:rPr>
          <w:rFonts w:ascii="Arial" w:hAnsi="Arial" w:cs="Arial"/>
          <w:i/>
          <w:iCs/>
          <w:sz w:val="22"/>
          <w:szCs w:val="22"/>
          <w:u w:val="single"/>
        </w:rPr>
        <w:t>Attachments</w:t>
      </w:r>
      <w:r w:rsidRPr="003C3FB2">
        <w:rPr>
          <w:rFonts w:ascii="Arial" w:hAnsi="Arial" w:cs="Arial"/>
          <w:i/>
          <w:iCs/>
          <w:sz w:val="22"/>
          <w:szCs w:val="22"/>
        </w:rPr>
        <w:t xml:space="preserve">: </w:t>
      </w:r>
    </w:p>
    <w:p w14:paraId="742A4D2D" w14:textId="5F9FB1E5" w:rsidR="000C02B2" w:rsidRPr="003C3FB2" w:rsidRDefault="00C57C92" w:rsidP="007B25D0">
      <w:pPr>
        <w:numPr>
          <w:ilvl w:val="0"/>
          <w:numId w:val="2"/>
        </w:numPr>
        <w:tabs>
          <w:tab w:val="clear" w:pos="814"/>
          <w:tab w:val="num" w:pos="709"/>
        </w:tabs>
        <w:spacing w:before="120"/>
        <w:ind w:left="706" w:hanging="346"/>
        <w:jc w:val="both"/>
        <w:rPr>
          <w:rFonts w:ascii="Arial" w:hAnsi="Arial" w:cs="Arial"/>
          <w:sz w:val="22"/>
          <w:szCs w:val="22"/>
        </w:rPr>
      </w:pPr>
      <w:hyperlink r:id="rId10" w:history="1">
        <w:r w:rsidR="007B00EA" w:rsidRPr="001C5F65">
          <w:rPr>
            <w:rStyle w:val="Hyperlink"/>
            <w:rFonts w:ascii="Arial" w:hAnsi="Arial" w:cs="Arial"/>
            <w:sz w:val="22"/>
            <w:szCs w:val="22"/>
          </w:rPr>
          <w:t>Trading (Allowable Hours) and</w:t>
        </w:r>
        <w:r w:rsidR="000C02B2" w:rsidRPr="001C5F65">
          <w:rPr>
            <w:rStyle w:val="Hyperlink"/>
            <w:rFonts w:ascii="Arial" w:hAnsi="Arial" w:cs="Arial"/>
            <w:sz w:val="22"/>
            <w:szCs w:val="22"/>
          </w:rPr>
          <w:t xml:space="preserve"> Other Legislation Amendment Bill 2022</w:t>
        </w:r>
      </w:hyperlink>
      <w:r w:rsidR="000C02B2" w:rsidRPr="003C3FB2">
        <w:rPr>
          <w:rFonts w:ascii="Arial" w:hAnsi="Arial" w:cs="Arial"/>
          <w:sz w:val="22"/>
          <w:szCs w:val="22"/>
        </w:rPr>
        <w:t xml:space="preserve"> </w:t>
      </w:r>
    </w:p>
    <w:p w14:paraId="6DC9F8B7" w14:textId="68917DC8" w:rsidR="005565F5" w:rsidRPr="003C3FB2" w:rsidRDefault="00C57C92" w:rsidP="007B25D0">
      <w:pPr>
        <w:numPr>
          <w:ilvl w:val="0"/>
          <w:numId w:val="2"/>
        </w:numPr>
        <w:tabs>
          <w:tab w:val="clear" w:pos="814"/>
          <w:tab w:val="num" w:pos="709"/>
        </w:tabs>
        <w:spacing w:before="120"/>
        <w:ind w:left="706" w:hanging="346"/>
        <w:jc w:val="both"/>
        <w:rPr>
          <w:rFonts w:ascii="Arial" w:hAnsi="Arial" w:cs="Arial"/>
          <w:sz w:val="22"/>
          <w:szCs w:val="22"/>
        </w:rPr>
      </w:pPr>
      <w:hyperlink r:id="rId11" w:history="1">
        <w:r w:rsidR="005565F5" w:rsidRPr="003653A7">
          <w:rPr>
            <w:rStyle w:val="Hyperlink"/>
            <w:rFonts w:ascii="Arial" w:hAnsi="Arial" w:cs="Arial"/>
            <w:sz w:val="22"/>
            <w:szCs w:val="22"/>
          </w:rPr>
          <w:t>Explanatory Notes</w:t>
        </w:r>
      </w:hyperlink>
    </w:p>
    <w:p w14:paraId="6D8324DE" w14:textId="2D6A8881" w:rsidR="00C845CB" w:rsidRPr="003C3FB2" w:rsidRDefault="00C57C92" w:rsidP="007B25D0">
      <w:pPr>
        <w:numPr>
          <w:ilvl w:val="0"/>
          <w:numId w:val="2"/>
        </w:numPr>
        <w:tabs>
          <w:tab w:val="clear" w:pos="814"/>
          <w:tab w:val="num" w:pos="709"/>
        </w:tabs>
        <w:spacing w:before="120"/>
        <w:ind w:left="706" w:hanging="346"/>
        <w:jc w:val="both"/>
        <w:rPr>
          <w:rFonts w:ascii="Arial" w:hAnsi="Arial" w:cs="Arial"/>
          <w:sz w:val="22"/>
          <w:szCs w:val="22"/>
        </w:rPr>
      </w:pPr>
      <w:hyperlink r:id="rId12" w:history="1">
        <w:r w:rsidR="005565F5" w:rsidRPr="003653A7">
          <w:rPr>
            <w:rStyle w:val="Hyperlink"/>
            <w:rFonts w:ascii="Arial" w:hAnsi="Arial" w:cs="Arial"/>
            <w:sz w:val="22"/>
            <w:szCs w:val="22"/>
          </w:rPr>
          <w:t>Statement of Compatibility</w:t>
        </w:r>
        <w:r w:rsidR="00CE4C97" w:rsidRPr="003653A7">
          <w:rPr>
            <w:rStyle w:val="Hyperlink"/>
            <w:rFonts w:ascii="Arial" w:hAnsi="Arial" w:cs="Arial"/>
            <w:sz w:val="22"/>
            <w:szCs w:val="22"/>
          </w:rPr>
          <w:t xml:space="preserve"> with Human Rights</w:t>
        </w:r>
      </w:hyperlink>
    </w:p>
    <w:sectPr w:rsidR="00C845CB" w:rsidRPr="003C3FB2" w:rsidSect="00AA68A5">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76B20" w14:textId="77777777" w:rsidR="00F3206D" w:rsidRDefault="00F3206D" w:rsidP="00685D54">
      <w:r>
        <w:separator/>
      </w:r>
    </w:p>
  </w:endnote>
  <w:endnote w:type="continuationSeparator" w:id="0">
    <w:p w14:paraId="1C018425" w14:textId="77777777" w:rsidR="00F3206D" w:rsidRDefault="00F3206D" w:rsidP="00685D54">
      <w:r>
        <w:continuationSeparator/>
      </w:r>
    </w:p>
  </w:endnote>
  <w:endnote w:type="continuationNotice" w:id="1">
    <w:p w14:paraId="3E21ED9D" w14:textId="77777777" w:rsidR="00F3206D" w:rsidRDefault="00F32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FE3A7" w14:textId="77777777" w:rsidR="00F3206D" w:rsidRDefault="00F3206D" w:rsidP="00685D54">
      <w:r>
        <w:separator/>
      </w:r>
    </w:p>
  </w:footnote>
  <w:footnote w:type="continuationSeparator" w:id="0">
    <w:p w14:paraId="2E74C49C" w14:textId="77777777" w:rsidR="00F3206D" w:rsidRDefault="00F3206D" w:rsidP="00685D54">
      <w:r>
        <w:continuationSeparator/>
      </w:r>
    </w:p>
  </w:footnote>
  <w:footnote w:type="continuationNotice" w:id="1">
    <w:p w14:paraId="4155F420" w14:textId="77777777" w:rsidR="00F3206D" w:rsidRDefault="00F32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F4A0" w14:textId="77777777" w:rsidR="002213EF" w:rsidRPr="00937A4A" w:rsidRDefault="002213EF" w:rsidP="002213E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A696AA0" w14:textId="77777777" w:rsidR="002213EF" w:rsidRPr="00937A4A" w:rsidRDefault="002213EF" w:rsidP="002213E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92C676C" w14:textId="52FA056D" w:rsidR="002213EF" w:rsidRPr="00937A4A" w:rsidRDefault="002213EF" w:rsidP="002213E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May 2022</w:t>
    </w:r>
  </w:p>
  <w:p w14:paraId="47887845" w14:textId="3D2551F2" w:rsidR="002213EF" w:rsidRDefault="002213EF" w:rsidP="002213EF">
    <w:pPr>
      <w:pStyle w:val="Header"/>
      <w:spacing w:before="120"/>
      <w:rPr>
        <w:rFonts w:ascii="Arial" w:hAnsi="Arial" w:cs="Arial"/>
        <w:b/>
        <w:sz w:val="22"/>
        <w:szCs w:val="22"/>
        <w:u w:val="single"/>
      </w:rPr>
    </w:pPr>
    <w:r>
      <w:rPr>
        <w:rFonts w:ascii="Arial" w:hAnsi="Arial" w:cs="Arial"/>
        <w:b/>
        <w:color w:val="auto"/>
        <w:sz w:val="22"/>
        <w:szCs w:val="22"/>
        <w:u w:val="single"/>
      </w:rPr>
      <w:t>Trading (Allowable Hours) and Other Legislation Amendment Bill 2022</w:t>
    </w:r>
  </w:p>
  <w:p w14:paraId="597AC755" w14:textId="22542388" w:rsidR="002213EF" w:rsidRDefault="002213EF" w:rsidP="002213EF">
    <w:pPr>
      <w:pStyle w:val="Header"/>
      <w:spacing w:before="120"/>
      <w:rPr>
        <w:rFonts w:ascii="Arial" w:hAnsi="Arial" w:cs="Arial"/>
        <w:b/>
        <w:sz w:val="22"/>
        <w:szCs w:val="22"/>
        <w:u w:val="single"/>
      </w:rPr>
    </w:pPr>
    <w:r w:rsidRPr="00725593">
      <w:rPr>
        <w:rFonts w:ascii="Arial" w:hAnsi="Arial" w:cs="Arial"/>
        <w:b/>
        <w:bCs/>
        <w:noProof/>
        <w:sz w:val="22"/>
        <w:szCs w:val="22"/>
        <w:u w:val="single"/>
      </w:rPr>
      <w:t>Minister for Education, Minister for Industrial Relations and Minister for Racing</w:t>
    </w:r>
  </w:p>
  <w:p w14:paraId="563DE0AB" w14:textId="77777777" w:rsidR="002213EF" w:rsidRDefault="002213EF" w:rsidP="002213E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F6B92"/>
    <w:multiLevelType w:val="hybridMultilevel"/>
    <w:tmpl w:val="20B87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E4382"/>
    <w:multiLevelType w:val="hybridMultilevel"/>
    <w:tmpl w:val="1F8ECF7E"/>
    <w:lvl w:ilvl="0" w:tplc="B4AE27CA">
      <w:start w:val="1"/>
      <w:numFmt w:val="decimal"/>
      <w:lvlText w:val="%1."/>
      <w:lvlJc w:val="left"/>
      <w:pPr>
        <w:tabs>
          <w:tab w:val="num" w:pos="360"/>
        </w:tabs>
        <w:ind w:left="360" w:hanging="360"/>
      </w:pPr>
      <w:rPr>
        <w:b w:val="0"/>
        <w:bCs/>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87A0A784"/>
    <w:lvl w:ilvl="0" w:tplc="F79A8770">
      <w:start w:val="1"/>
      <w:numFmt w:val="decimal"/>
      <w:lvlText w:val="%1."/>
      <w:lvlJc w:val="left"/>
      <w:pPr>
        <w:tabs>
          <w:tab w:val="num" w:pos="720"/>
        </w:tabs>
        <w:ind w:left="720" w:hanging="360"/>
      </w:pPr>
      <w:rPr>
        <w:i w:val="0"/>
        <w:iCs w:val="0"/>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4375289">
    <w:abstractNumId w:val="3"/>
  </w:num>
  <w:num w:numId="2" w16cid:durableId="207383093">
    <w:abstractNumId w:val="2"/>
  </w:num>
  <w:num w:numId="3" w16cid:durableId="1399785416">
    <w:abstractNumId w:val="1"/>
  </w:num>
  <w:num w:numId="4" w16cid:durableId="42338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26"/>
    <w:rsid w:val="00000CEA"/>
    <w:rsid w:val="00023365"/>
    <w:rsid w:val="00036072"/>
    <w:rsid w:val="00066A31"/>
    <w:rsid w:val="00097A94"/>
    <w:rsid w:val="000C02B2"/>
    <w:rsid w:val="001147B5"/>
    <w:rsid w:val="00114DA5"/>
    <w:rsid w:val="001174CD"/>
    <w:rsid w:val="00160F4F"/>
    <w:rsid w:val="00180353"/>
    <w:rsid w:val="00194949"/>
    <w:rsid w:val="001A63BD"/>
    <w:rsid w:val="001C3AAC"/>
    <w:rsid w:val="001C5F65"/>
    <w:rsid w:val="001F0918"/>
    <w:rsid w:val="001F22C8"/>
    <w:rsid w:val="002213EF"/>
    <w:rsid w:val="00227A22"/>
    <w:rsid w:val="00290326"/>
    <w:rsid w:val="002A1E9D"/>
    <w:rsid w:val="002B6114"/>
    <w:rsid w:val="002C240D"/>
    <w:rsid w:val="002E0053"/>
    <w:rsid w:val="00300C5F"/>
    <w:rsid w:val="00311825"/>
    <w:rsid w:val="003502BA"/>
    <w:rsid w:val="003653A7"/>
    <w:rsid w:val="0036761B"/>
    <w:rsid w:val="00392886"/>
    <w:rsid w:val="00395ECA"/>
    <w:rsid w:val="0039782C"/>
    <w:rsid w:val="003A26BB"/>
    <w:rsid w:val="003B1C0E"/>
    <w:rsid w:val="003C3A08"/>
    <w:rsid w:val="003C3FB2"/>
    <w:rsid w:val="003C7084"/>
    <w:rsid w:val="003D255C"/>
    <w:rsid w:val="003E3523"/>
    <w:rsid w:val="003E4A45"/>
    <w:rsid w:val="003E5CCF"/>
    <w:rsid w:val="00411B18"/>
    <w:rsid w:val="004161E7"/>
    <w:rsid w:val="004243DC"/>
    <w:rsid w:val="0043395A"/>
    <w:rsid w:val="004461D7"/>
    <w:rsid w:val="00452B16"/>
    <w:rsid w:val="004709F3"/>
    <w:rsid w:val="00473382"/>
    <w:rsid w:val="00475F9A"/>
    <w:rsid w:val="00481D67"/>
    <w:rsid w:val="004C1426"/>
    <w:rsid w:val="00511D4E"/>
    <w:rsid w:val="0051369D"/>
    <w:rsid w:val="005259BB"/>
    <w:rsid w:val="00545221"/>
    <w:rsid w:val="005565F5"/>
    <w:rsid w:val="005749EE"/>
    <w:rsid w:val="00580C0C"/>
    <w:rsid w:val="00581C23"/>
    <w:rsid w:val="00585CB8"/>
    <w:rsid w:val="00590B51"/>
    <w:rsid w:val="005A48FA"/>
    <w:rsid w:val="005B28E2"/>
    <w:rsid w:val="00601047"/>
    <w:rsid w:val="006135DF"/>
    <w:rsid w:val="006202B9"/>
    <w:rsid w:val="00624708"/>
    <w:rsid w:val="00636B9B"/>
    <w:rsid w:val="00653744"/>
    <w:rsid w:val="006601FD"/>
    <w:rsid w:val="00685D54"/>
    <w:rsid w:val="00686647"/>
    <w:rsid w:val="006A5DD5"/>
    <w:rsid w:val="006A7E86"/>
    <w:rsid w:val="00701F71"/>
    <w:rsid w:val="00725593"/>
    <w:rsid w:val="007275E9"/>
    <w:rsid w:val="00764F7D"/>
    <w:rsid w:val="007B00EA"/>
    <w:rsid w:val="007B03F7"/>
    <w:rsid w:val="007B25D0"/>
    <w:rsid w:val="007D7F08"/>
    <w:rsid w:val="007F2806"/>
    <w:rsid w:val="00800871"/>
    <w:rsid w:val="00844BBD"/>
    <w:rsid w:val="008638C3"/>
    <w:rsid w:val="00891904"/>
    <w:rsid w:val="008A55FF"/>
    <w:rsid w:val="008B4FE1"/>
    <w:rsid w:val="008D0242"/>
    <w:rsid w:val="008E4D5D"/>
    <w:rsid w:val="00916D12"/>
    <w:rsid w:val="009170B5"/>
    <w:rsid w:val="009331F3"/>
    <w:rsid w:val="00946415"/>
    <w:rsid w:val="009516C7"/>
    <w:rsid w:val="0097127B"/>
    <w:rsid w:val="009753BE"/>
    <w:rsid w:val="0098719C"/>
    <w:rsid w:val="009D104F"/>
    <w:rsid w:val="009D6284"/>
    <w:rsid w:val="009F0133"/>
    <w:rsid w:val="00A0369E"/>
    <w:rsid w:val="00A040CA"/>
    <w:rsid w:val="00A079CB"/>
    <w:rsid w:val="00A2584C"/>
    <w:rsid w:val="00A33759"/>
    <w:rsid w:val="00A47B9E"/>
    <w:rsid w:val="00A600D9"/>
    <w:rsid w:val="00A63444"/>
    <w:rsid w:val="00A769F0"/>
    <w:rsid w:val="00A807CD"/>
    <w:rsid w:val="00A8091E"/>
    <w:rsid w:val="00AA020D"/>
    <w:rsid w:val="00AA68A5"/>
    <w:rsid w:val="00AC573C"/>
    <w:rsid w:val="00AD03EE"/>
    <w:rsid w:val="00AD114D"/>
    <w:rsid w:val="00AE5294"/>
    <w:rsid w:val="00AF2CE4"/>
    <w:rsid w:val="00B246DE"/>
    <w:rsid w:val="00B5061E"/>
    <w:rsid w:val="00B65391"/>
    <w:rsid w:val="00B701BB"/>
    <w:rsid w:val="00B9336C"/>
    <w:rsid w:val="00B96FC0"/>
    <w:rsid w:val="00BA4025"/>
    <w:rsid w:val="00BA72AF"/>
    <w:rsid w:val="00BB0E98"/>
    <w:rsid w:val="00BB5E0A"/>
    <w:rsid w:val="00C00A32"/>
    <w:rsid w:val="00C47D2F"/>
    <w:rsid w:val="00C5168C"/>
    <w:rsid w:val="00C57C92"/>
    <w:rsid w:val="00C57EB1"/>
    <w:rsid w:val="00C845CB"/>
    <w:rsid w:val="00CB4F50"/>
    <w:rsid w:val="00CB6515"/>
    <w:rsid w:val="00CC53B9"/>
    <w:rsid w:val="00CE4C97"/>
    <w:rsid w:val="00D03CF3"/>
    <w:rsid w:val="00D6398C"/>
    <w:rsid w:val="00D66E36"/>
    <w:rsid w:val="00D738CC"/>
    <w:rsid w:val="00DA1427"/>
    <w:rsid w:val="00DC0C45"/>
    <w:rsid w:val="00DD103B"/>
    <w:rsid w:val="00DF7162"/>
    <w:rsid w:val="00E03E8B"/>
    <w:rsid w:val="00E31D18"/>
    <w:rsid w:val="00E33C74"/>
    <w:rsid w:val="00E41939"/>
    <w:rsid w:val="00E513AE"/>
    <w:rsid w:val="00E52FB4"/>
    <w:rsid w:val="00E81690"/>
    <w:rsid w:val="00EB53FC"/>
    <w:rsid w:val="00EC0337"/>
    <w:rsid w:val="00EC44AB"/>
    <w:rsid w:val="00ED4BAB"/>
    <w:rsid w:val="00EF6150"/>
    <w:rsid w:val="00F0357D"/>
    <w:rsid w:val="00F11CE1"/>
    <w:rsid w:val="00F31B10"/>
    <w:rsid w:val="00F3206D"/>
    <w:rsid w:val="00F359FF"/>
    <w:rsid w:val="00F447FE"/>
    <w:rsid w:val="00F451B1"/>
    <w:rsid w:val="00F71660"/>
    <w:rsid w:val="00F81D7D"/>
    <w:rsid w:val="00F86502"/>
    <w:rsid w:val="00FA08BC"/>
    <w:rsid w:val="00FB07D5"/>
    <w:rsid w:val="00FD27E8"/>
    <w:rsid w:val="00FF0063"/>
    <w:rsid w:val="00FF4F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5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F5"/>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D54"/>
    <w:rPr>
      <w:rFonts w:ascii="Segoe UI" w:eastAsia="Times New Roman" w:hAnsi="Segoe UI" w:cs="Segoe UI"/>
      <w:color w:val="000000"/>
      <w:sz w:val="18"/>
      <w:szCs w:val="18"/>
      <w:lang w:eastAsia="en-AU"/>
    </w:rPr>
  </w:style>
  <w:style w:type="paragraph" w:styleId="Header">
    <w:name w:val="header"/>
    <w:basedOn w:val="Normal"/>
    <w:link w:val="HeaderChar"/>
    <w:uiPriority w:val="99"/>
    <w:unhideWhenUsed/>
    <w:rsid w:val="00685D54"/>
    <w:pPr>
      <w:tabs>
        <w:tab w:val="center" w:pos="4513"/>
        <w:tab w:val="right" w:pos="9026"/>
      </w:tabs>
    </w:pPr>
  </w:style>
  <w:style w:type="character" w:customStyle="1" w:styleId="HeaderChar">
    <w:name w:val="Header Char"/>
    <w:basedOn w:val="DefaultParagraphFont"/>
    <w:link w:val="Header"/>
    <w:uiPriority w:val="99"/>
    <w:rsid w:val="00685D54"/>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unhideWhenUsed/>
    <w:rsid w:val="00685D54"/>
    <w:pPr>
      <w:tabs>
        <w:tab w:val="center" w:pos="4513"/>
        <w:tab w:val="right" w:pos="9026"/>
      </w:tabs>
    </w:pPr>
  </w:style>
  <w:style w:type="character" w:customStyle="1" w:styleId="FooterChar">
    <w:name w:val="Footer Char"/>
    <w:basedOn w:val="DefaultParagraphFont"/>
    <w:link w:val="Footer"/>
    <w:uiPriority w:val="99"/>
    <w:rsid w:val="00685D54"/>
    <w:rPr>
      <w:rFonts w:ascii="Times New Roman" w:eastAsia="Times New Roman" w:hAnsi="Times New Roman" w:cs="Times New Roman"/>
      <w:color w:val="000000"/>
      <w:sz w:val="24"/>
      <w:szCs w:val="20"/>
      <w:lang w:eastAsia="en-AU"/>
    </w:rPr>
  </w:style>
  <w:style w:type="character" w:styleId="CommentReference">
    <w:name w:val="annotation reference"/>
    <w:semiHidden/>
    <w:unhideWhenUsed/>
    <w:rsid w:val="003E3523"/>
    <w:rPr>
      <w:sz w:val="16"/>
      <w:szCs w:val="16"/>
    </w:rPr>
  </w:style>
  <w:style w:type="paragraph" w:styleId="CommentText">
    <w:name w:val="annotation text"/>
    <w:basedOn w:val="Normal"/>
    <w:link w:val="CommentTextChar"/>
    <w:unhideWhenUsed/>
    <w:rsid w:val="003E3523"/>
    <w:rPr>
      <w:sz w:val="20"/>
    </w:rPr>
  </w:style>
  <w:style w:type="character" w:customStyle="1" w:styleId="CommentTextChar">
    <w:name w:val="Comment Text Char"/>
    <w:basedOn w:val="DefaultParagraphFont"/>
    <w:link w:val="CommentText"/>
    <w:rsid w:val="003E3523"/>
    <w:rPr>
      <w:rFonts w:ascii="Times New Roman" w:eastAsia="Times New Roman" w:hAnsi="Times New Roman" w:cs="Times New Roman"/>
      <w:color w:val="000000"/>
      <w:sz w:val="20"/>
      <w:szCs w:val="20"/>
      <w:lang w:eastAsia="en-AU"/>
    </w:rPr>
  </w:style>
  <w:style w:type="paragraph" w:styleId="ListParagraph">
    <w:name w:val="List Paragraph"/>
    <w:basedOn w:val="Normal"/>
    <w:uiPriority w:val="34"/>
    <w:qFormat/>
    <w:rsid w:val="00636B9B"/>
    <w:pPr>
      <w:ind w:left="720"/>
      <w:contextualSpacing/>
    </w:pPr>
  </w:style>
  <w:style w:type="paragraph" w:styleId="CommentSubject">
    <w:name w:val="annotation subject"/>
    <w:basedOn w:val="CommentText"/>
    <w:next w:val="CommentText"/>
    <w:link w:val="CommentSubjectChar"/>
    <w:uiPriority w:val="99"/>
    <w:semiHidden/>
    <w:unhideWhenUsed/>
    <w:rsid w:val="00DD103B"/>
    <w:rPr>
      <w:b/>
      <w:bCs/>
    </w:rPr>
  </w:style>
  <w:style w:type="character" w:customStyle="1" w:styleId="CommentSubjectChar">
    <w:name w:val="Comment Subject Char"/>
    <w:basedOn w:val="CommentTextChar"/>
    <w:link w:val="CommentSubject"/>
    <w:uiPriority w:val="99"/>
    <w:semiHidden/>
    <w:rsid w:val="00DD103B"/>
    <w:rPr>
      <w:rFonts w:ascii="Times New Roman" w:eastAsia="Times New Roman" w:hAnsi="Times New Roman" w:cs="Times New Roman"/>
      <w:b/>
      <w:bCs/>
      <w:color w:val="000000"/>
      <w:sz w:val="20"/>
      <w:szCs w:val="20"/>
      <w:lang w:eastAsia="en-AU"/>
    </w:rPr>
  </w:style>
  <w:style w:type="paragraph" w:styleId="Revision">
    <w:name w:val="Revision"/>
    <w:hidden/>
    <w:uiPriority w:val="99"/>
    <w:semiHidden/>
    <w:rsid w:val="0039782C"/>
    <w:pPr>
      <w:spacing w:after="0" w:line="240" w:lineRule="auto"/>
    </w:pPr>
    <w:rPr>
      <w:rFonts w:ascii="Times New Roman" w:eastAsia="Times New Roman" w:hAnsi="Times New Roman" w:cs="Times New Roman"/>
      <w:color w:val="000000"/>
      <w:sz w:val="24"/>
      <w:szCs w:val="20"/>
      <w:lang w:eastAsia="en-AU"/>
    </w:rPr>
  </w:style>
  <w:style w:type="character" w:styleId="Hyperlink">
    <w:name w:val="Hyperlink"/>
    <w:basedOn w:val="DefaultParagraphFont"/>
    <w:uiPriority w:val="99"/>
    <w:unhideWhenUsed/>
    <w:rsid w:val="00916D12"/>
    <w:rPr>
      <w:color w:val="0563C1" w:themeColor="hyperlink"/>
      <w:u w:val="single"/>
    </w:rPr>
  </w:style>
  <w:style w:type="character" w:styleId="UnresolvedMention">
    <w:name w:val="Unresolved Mention"/>
    <w:basedOn w:val="DefaultParagraphFont"/>
    <w:uiPriority w:val="99"/>
    <w:semiHidden/>
    <w:unhideWhenUsed/>
    <w:rsid w:val="00916D12"/>
    <w:rPr>
      <w:color w:val="605E5C"/>
      <w:shd w:val="clear" w:color="auto" w:fill="E1DFDD"/>
    </w:rPr>
  </w:style>
  <w:style w:type="character" w:styleId="FollowedHyperlink">
    <w:name w:val="FollowedHyperlink"/>
    <w:basedOn w:val="DefaultParagraphFont"/>
    <w:uiPriority w:val="99"/>
    <w:semiHidden/>
    <w:unhideWhenUsed/>
    <w:rsid w:val="00365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cqld.sharepoint.com/sites/DPC-CABINETSERVICES/Shared%20Documents/General/Proactive%20Release/ToBeProcessed/2022/May/TradingOLAB/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2/May/TradingOLAB/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cqld.sharepoint.com/sites/DPC-CABINETSERVICES/Shared%20Documents/General/Proactive%20Release/ToBeProcessed/2022/May/TradingOLAB/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167E78-BE3B-460F-862A-1AA82B27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AE9B2-0F68-456C-8A51-BBE8C691E67B}">
  <ds:schemaRefs>
    <ds:schemaRef ds:uri="http://schemas.microsoft.com/sharepoint/v3/contenttype/forms"/>
  </ds:schemaRefs>
</ds:datastoreItem>
</file>

<file path=customXml/itemProps3.xml><?xml version="1.0" encoding="utf-8"?>
<ds:datastoreItem xmlns:ds="http://schemas.openxmlformats.org/officeDocument/2006/customXml" ds:itemID="{5DF6065A-7FE8-4BFE-9ABC-B13AF174466B}">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385</Words>
  <Characters>2266</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Base>https://www.cabinet.qld.gov.au/documents/2022/May/TradingOLAB/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cp:lastPrinted>2022-03-23T05:47:00Z</cp:lastPrinted>
  <dcterms:created xsi:type="dcterms:W3CDTF">2022-05-17T00:31:00Z</dcterms:created>
  <dcterms:modified xsi:type="dcterms:W3CDTF">2024-09-26T21:49:00Z</dcterms:modified>
  <cp:category>Industrial_Relations,Legislation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0x0101008ABC7B85FF322D4B8AE3B78A6C4BF8F24000B01F331305DBDA4EA7BFC2C4DFCA62E6</vt:lpwstr>
  </property>
  <property fmtid="{D5CDD505-2E9C-101B-9397-08002B2CF9AE}" pid="3" name="TaxKeyword">
    <vt:lpwstr/>
  </property>
  <property fmtid="{D5CDD505-2E9C-101B-9397-08002B2CF9AE}" pid="4" name="WorkflowChangePath">
    <vt:lpwstr>05501e91-fc24-4040-845c-3275bb130aeb,2;</vt:lpwstr>
  </property>
  <property fmtid="{D5CDD505-2E9C-101B-9397-08002B2CF9AE}" pid="5" name="MediaServiceImageTags">
    <vt:lpwstr/>
  </property>
</Properties>
</file>